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2081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>Responsibility for Compliance: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 Cornerstone Behavioral Healthcare (CBH) will comply with all core standards and applicable program specific standards that apply to CBH’s services unless formally waived by the department. </w:t>
      </w:r>
    </w:p>
    <w:p w14:paraId="01B7BA7A" w14:textId="77777777" w:rsidR="007D0B78" w:rsidRPr="00E23BAA" w:rsidRDefault="008A223E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  <w:lang w:eastAsia="en-US"/>
        </w:rPr>
        <w:t>CBH will follow all other applicable rules and regulations from both State and Federal authorities.</w:t>
      </w:r>
    </w:p>
    <w:p w14:paraId="007983FC" w14:textId="77777777" w:rsidR="007D0B78" w:rsidRPr="00E23BAA" w:rsidRDefault="008A223E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  <w:lang w:eastAsia="en-US"/>
        </w:rPr>
        <w:t>CBH will ensure that all staff are trained in Behavioral Organizations Licensing Rules and regulations.</w:t>
      </w:r>
    </w:p>
    <w:p w14:paraId="50C90DB9" w14:textId="77777777" w:rsidR="007D0B78" w:rsidRPr="00E23BAA" w:rsidRDefault="008A223E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  <w:lang w:eastAsia="en-US"/>
        </w:rPr>
        <w:t>CBH will develop policies and procedures to comply with Licensing Rules.</w:t>
      </w:r>
    </w:p>
    <w:p w14:paraId="4C20655E" w14:textId="77777777" w:rsidR="007D0B78" w:rsidRPr="00E23BAA" w:rsidRDefault="008A223E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  <w:lang w:eastAsia="en-US"/>
        </w:rPr>
        <w:t xml:space="preserve">N/A CBH does not run residential services. </w:t>
      </w:r>
    </w:p>
    <w:p w14:paraId="11DD94DA" w14:textId="77777777" w:rsidR="007D0B78" w:rsidRPr="00E23BAA" w:rsidRDefault="007D0B78">
      <w:pPr>
        <w:pStyle w:val="ListParagraph"/>
        <w:suppressAutoHyphens w:val="0"/>
        <w:spacing w:line="240" w:lineRule="exact"/>
        <w:ind w:left="1440"/>
        <w:rPr>
          <w:rFonts w:ascii="Times New Roman" w:hAnsi="Times New Roman"/>
          <w:sz w:val="22"/>
          <w:szCs w:val="22"/>
        </w:rPr>
      </w:pPr>
    </w:p>
    <w:p w14:paraId="7CA43088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>Non-transferable License: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 CBH in the event of a change in ownership of the organization CBH will apply for a new license. </w:t>
      </w:r>
    </w:p>
    <w:p w14:paraId="41E6BA3B" w14:textId="77777777" w:rsidR="007D0B78" w:rsidRPr="00E23BAA" w:rsidRDefault="007D0B78">
      <w:pPr>
        <w:pStyle w:val="ListParagraph"/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4B8347C5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License Posted: </w:t>
      </w:r>
      <w:r w:rsidRPr="00E23BAA">
        <w:rPr>
          <w:rFonts w:ascii="Times New Roman" w:hAnsi="Times New Roman"/>
          <w:sz w:val="22"/>
          <w:szCs w:val="22"/>
          <w:lang w:eastAsia="en-US"/>
        </w:rPr>
        <w:t>Licenses will be posted conspicuously in areas that are accessed by the general public.</w:t>
      </w:r>
    </w:p>
    <w:p w14:paraId="06651E59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7049DE46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Initial or Renewable Application for License: </w:t>
      </w:r>
      <w:r w:rsidRPr="00E23BAA">
        <w:rPr>
          <w:rFonts w:ascii="Times New Roman" w:hAnsi="Times New Roman"/>
          <w:sz w:val="22"/>
          <w:szCs w:val="22"/>
          <w:lang w:eastAsia="en-US"/>
        </w:rPr>
        <w:t>CBH will follow all requirements in renewing its licenses.</w:t>
      </w:r>
    </w:p>
    <w:p w14:paraId="5CE10822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4001DEFC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Documents Required with Initial Application: 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CBH already has an existing license. </w:t>
      </w:r>
    </w:p>
    <w:p w14:paraId="165AEAA8" w14:textId="31D3D5B9" w:rsidR="003F6F4E" w:rsidRPr="00E23BAA" w:rsidRDefault="008A223E" w:rsidP="00ED4380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  <w:lang w:eastAsia="en-US"/>
        </w:rPr>
        <w:t>Emergency, Disaster, Hazard, and Evacuation Plan</w:t>
      </w:r>
      <w:r w:rsidR="00106715" w:rsidRPr="00E23BAA">
        <w:rPr>
          <w:rFonts w:ascii="Times New Roman" w:hAnsi="Times New Roman"/>
          <w:sz w:val="22"/>
          <w:szCs w:val="22"/>
          <w:lang w:eastAsia="en-US"/>
        </w:rPr>
        <w:t xml:space="preserve"> see </w:t>
      </w:r>
      <w:r w:rsidR="00004BF1">
        <w:rPr>
          <w:rFonts w:ascii="Times New Roman" w:hAnsi="Times New Roman"/>
          <w:sz w:val="22"/>
          <w:szCs w:val="22"/>
          <w:lang w:eastAsia="en-US"/>
        </w:rPr>
        <w:t>PM 35 Disaster and Evacuation Plan</w:t>
      </w:r>
    </w:p>
    <w:p w14:paraId="3382FAFC" w14:textId="26BAE31D" w:rsidR="00ED4380" w:rsidRPr="00E23BAA" w:rsidRDefault="00ED4380" w:rsidP="00ED4380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  <w:lang w:eastAsia="en-US"/>
        </w:rPr>
        <w:t>Closure Policy, see Sec 11I</w:t>
      </w:r>
      <w:r w:rsidR="00004BF1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14:paraId="7E23D388" w14:textId="77777777" w:rsidR="007D0B78" w:rsidRPr="00E23BAA" w:rsidRDefault="007D0B78">
      <w:pPr>
        <w:pStyle w:val="ListParagraph"/>
        <w:suppressAutoHyphens w:val="0"/>
        <w:spacing w:line="240" w:lineRule="exact"/>
        <w:ind w:left="1440"/>
        <w:rPr>
          <w:rFonts w:ascii="Times New Roman" w:hAnsi="Times New Roman"/>
          <w:sz w:val="22"/>
          <w:szCs w:val="22"/>
        </w:rPr>
      </w:pPr>
    </w:p>
    <w:p w14:paraId="3F76FF51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Provisional License: 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CBH is already operating as a licensed Behavioral Health Organization. </w:t>
      </w:r>
    </w:p>
    <w:p w14:paraId="532DAA74" w14:textId="77777777" w:rsidR="007D0B78" w:rsidRPr="00E23BAA" w:rsidRDefault="007D0B78">
      <w:pPr>
        <w:pStyle w:val="ListParagraph"/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19F110CA" w14:textId="3B74F197" w:rsidR="007D0B78" w:rsidRPr="003A4D2E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3A4D2E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Full License: </w:t>
      </w:r>
      <w:r w:rsidRPr="003A4D2E">
        <w:rPr>
          <w:rFonts w:ascii="Times New Roman" w:hAnsi="Times New Roman"/>
          <w:sz w:val="22"/>
          <w:szCs w:val="22"/>
          <w:lang w:eastAsia="en-US"/>
        </w:rPr>
        <w:t>is issued for a term of two (2) years. CBH is fully licensed and</w:t>
      </w:r>
      <w:r w:rsidR="003A4D2E" w:rsidRPr="003A4D2E">
        <w:rPr>
          <w:rFonts w:ascii="Times New Roman" w:hAnsi="Times New Roman"/>
          <w:sz w:val="22"/>
          <w:szCs w:val="22"/>
          <w:lang w:eastAsia="en-US"/>
        </w:rPr>
        <w:t>,</w:t>
      </w:r>
      <w:r w:rsidRPr="003A4D2E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7442A" w:rsidRPr="003A4D2E">
        <w:rPr>
          <w:rFonts w:ascii="Times New Roman" w:hAnsi="Times New Roman"/>
          <w:sz w:val="22"/>
          <w:szCs w:val="22"/>
          <w:lang w:eastAsia="en-US"/>
        </w:rPr>
        <w:t xml:space="preserve">to the best of the organization’s </w:t>
      </w:r>
      <w:r w:rsidR="003A4D2E" w:rsidRPr="003A4D2E">
        <w:rPr>
          <w:rFonts w:ascii="Times New Roman" w:hAnsi="Times New Roman"/>
          <w:sz w:val="22"/>
          <w:szCs w:val="22"/>
          <w:lang w:eastAsia="en-US"/>
        </w:rPr>
        <w:t>ability,</w:t>
      </w:r>
      <w:r w:rsidR="0007442A" w:rsidRPr="003A4D2E">
        <w:rPr>
          <w:rFonts w:ascii="Times New Roman" w:hAnsi="Times New Roman"/>
          <w:sz w:val="22"/>
          <w:szCs w:val="22"/>
          <w:lang w:eastAsia="en-US"/>
        </w:rPr>
        <w:t xml:space="preserve"> will </w:t>
      </w:r>
      <w:r w:rsidRPr="003A4D2E">
        <w:rPr>
          <w:rFonts w:ascii="Times New Roman" w:hAnsi="Times New Roman"/>
          <w:sz w:val="22"/>
          <w:szCs w:val="22"/>
          <w:lang w:eastAsia="en-US"/>
        </w:rPr>
        <w:t>compl</w:t>
      </w:r>
      <w:r w:rsidR="0007442A" w:rsidRPr="003A4D2E">
        <w:rPr>
          <w:rFonts w:ascii="Times New Roman" w:hAnsi="Times New Roman"/>
          <w:sz w:val="22"/>
          <w:szCs w:val="22"/>
          <w:lang w:eastAsia="en-US"/>
        </w:rPr>
        <w:t>y</w:t>
      </w:r>
      <w:r w:rsidRPr="003A4D2E">
        <w:rPr>
          <w:rFonts w:ascii="Times New Roman" w:hAnsi="Times New Roman"/>
          <w:sz w:val="22"/>
          <w:szCs w:val="22"/>
          <w:lang w:eastAsia="en-US"/>
        </w:rPr>
        <w:t xml:space="preserve"> with all applicable rules and statutes</w:t>
      </w:r>
      <w:r w:rsidR="0007442A" w:rsidRPr="003A4D2E">
        <w:rPr>
          <w:rFonts w:ascii="Times New Roman" w:hAnsi="Times New Roman"/>
          <w:sz w:val="22"/>
          <w:szCs w:val="22"/>
          <w:lang w:eastAsia="en-US"/>
        </w:rPr>
        <w:t xml:space="preserve"> for Licensed Behavioral Organizations</w:t>
      </w:r>
      <w:r w:rsidRPr="003A4D2E">
        <w:rPr>
          <w:rFonts w:ascii="Times New Roman" w:hAnsi="Times New Roman"/>
          <w:sz w:val="22"/>
          <w:szCs w:val="22"/>
          <w:lang w:eastAsia="en-US"/>
        </w:rPr>
        <w:t>.</w:t>
      </w:r>
    </w:p>
    <w:p w14:paraId="501DD765" w14:textId="77777777" w:rsidR="007D0B78" w:rsidRPr="003A4D2E" w:rsidRDefault="008A223E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3A4D2E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 </w:t>
      </w:r>
    </w:p>
    <w:p w14:paraId="23DD1882" w14:textId="500EF728" w:rsidR="007D0B78" w:rsidRPr="003A4D2E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3A4D2E">
        <w:rPr>
          <w:rFonts w:ascii="Times New Roman" w:hAnsi="Times New Roman"/>
          <w:b/>
          <w:bCs w:val="0"/>
          <w:sz w:val="22"/>
          <w:szCs w:val="22"/>
          <w:lang w:eastAsia="en-US"/>
        </w:rPr>
        <w:t>Conditional License:</w:t>
      </w:r>
      <w:r w:rsidRPr="003A4D2E">
        <w:rPr>
          <w:rFonts w:ascii="Times New Roman" w:hAnsi="Times New Roman"/>
          <w:sz w:val="22"/>
          <w:szCs w:val="22"/>
          <w:lang w:eastAsia="en-US"/>
        </w:rPr>
        <w:t xml:space="preserve"> If CBH was issued a conditional license, </w:t>
      </w:r>
      <w:r w:rsidR="0007442A" w:rsidRPr="003A4D2E">
        <w:rPr>
          <w:rFonts w:ascii="Times New Roman" w:hAnsi="Times New Roman"/>
          <w:sz w:val="22"/>
          <w:szCs w:val="22"/>
          <w:lang w:eastAsia="en-US"/>
        </w:rPr>
        <w:t>the CEO and Clinical Director</w:t>
      </w:r>
      <w:r w:rsidR="003A4D2E" w:rsidRPr="003A4D2E">
        <w:rPr>
          <w:rFonts w:ascii="Times New Roman" w:hAnsi="Times New Roman"/>
          <w:sz w:val="22"/>
          <w:szCs w:val="22"/>
          <w:lang w:eastAsia="en-US"/>
        </w:rPr>
        <w:t>,</w:t>
      </w:r>
      <w:r w:rsidR="0007442A" w:rsidRPr="003A4D2E">
        <w:rPr>
          <w:rFonts w:ascii="Times New Roman" w:hAnsi="Times New Roman"/>
          <w:sz w:val="22"/>
          <w:szCs w:val="22"/>
          <w:lang w:eastAsia="en-US"/>
        </w:rPr>
        <w:t xml:space="preserve"> in coordination with Senior Management</w:t>
      </w:r>
      <w:r w:rsidR="003A4D2E" w:rsidRPr="003A4D2E">
        <w:rPr>
          <w:rFonts w:ascii="Times New Roman" w:hAnsi="Times New Roman"/>
          <w:sz w:val="22"/>
          <w:szCs w:val="22"/>
          <w:lang w:eastAsia="en-US"/>
        </w:rPr>
        <w:t>,</w:t>
      </w:r>
      <w:r w:rsidR="0007442A" w:rsidRPr="003A4D2E">
        <w:rPr>
          <w:rFonts w:ascii="Times New Roman" w:hAnsi="Times New Roman"/>
          <w:sz w:val="22"/>
          <w:szCs w:val="22"/>
          <w:lang w:eastAsia="en-US"/>
        </w:rPr>
        <w:t xml:space="preserve"> will</w:t>
      </w:r>
      <w:r w:rsidRPr="003A4D2E">
        <w:rPr>
          <w:rFonts w:ascii="Times New Roman" w:hAnsi="Times New Roman"/>
          <w:sz w:val="22"/>
          <w:szCs w:val="22"/>
          <w:lang w:eastAsia="en-US"/>
        </w:rPr>
        <w:t xml:space="preserve"> take steps to correct all infractions of licensing rules to comply with </w:t>
      </w:r>
      <w:r w:rsidR="003A4D2E" w:rsidRPr="003A4D2E">
        <w:rPr>
          <w:rFonts w:ascii="Times New Roman" w:hAnsi="Times New Roman"/>
          <w:sz w:val="22"/>
          <w:szCs w:val="22"/>
          <w:lang w:eastAsia="en-US"/>
        </w:rPr>
        <w:t>current</w:t>
      </w:r>
      <w:r w:rsidRPr="003A4D2E">
        <w:rPr>
          <w:rFonts w:ascii="Times New Roman" w:hAnsi="Times New Roman"/>
          <w:sz w:val="22"/>
          <w:szCs w:val="22"/>
          <w:lang w:eastAsia="en-US"/>
        </w:rPr>
        <w:t xml:space="preserve"> standards.</w:t>
      </w:r>
    </w:p>
    <w:p w14:paraId="7401EC65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08D6CF3D" w14:textId="45B59BF1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Amended License Required When Changes Occur: 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If CBH needs to amend its license, we will follow the requirements as stated in this section. </w:t>
      </w:r>
      <w:r w:rsidR="0007442A">
        <w:rPr>
          <w:rFonts w:ascii="Times New Roman" w:hAnsi="Times New Roman"/>
          <w:sz w:val="22"/>
          <w:szCs w:val="22"/>
          <w:lang w:eastAsia="en-US"/>
        </w:rPr>
        <w:t xml:space="preserve">The CEO and Clinical Director will evaluate and approve any amendments to the </w:t>
      </w:r>
      <w:r w:rsidR="0001516F">
        <w:rPr>
          <w:rFonts w:ascii="Times New Roman" w:hAnsi="Times New Roman"/>
          <w:sz w:val="22"/>
          <w:szCs w:val="22"/>
          <w:lang w:eastAsia="en-US"/>
        </w:rPr>
        <w:t>CBH’s</w:t>
      </w:r>
      <w:r w:rsidR="0007442A">
        <w:rPr>
          <w:rFonts w:ascii="Times New Roman" w:hAnsi="Times New Roman"/>
          <w:sz w:val="22"/>
          <w:szCs w:val="22"/>
          <w:lang w:eastAsia="en-US"/>
        </w:rPr>
        <w:t xml:space="preserve"> license. </w:t>
      </w:r>
    </w:p>
    <w:p w14:paraId="33D9040B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355F8579" w14:textId="2ECF13F6" w:rsidR="00814B81" w:rsidRPr="0001516F" w:rsidRDefault="008A223E" w:rsidP="003A4D2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  <w:highlight w:val="green"/>
        </w:rPr>
      </w:pPr>
      <w:r w:rsidRPr="00EB7349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Waivers of a Licensing Rule: </w:t>
      </w:r>
      <w:r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 xml:space="preserve">If CBH needs to </w:t>
      </w:r>
      <w:r w:rsidR="003A4D2E"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 xml:space="preserve">request waiver of </w:t>
      </w:r>
      <w:r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 xml:space="preserve">a licensing rule, </w:t>
      </w:r>
      <w:r w:rsidR="003A4D2E"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>CBH</w:t>
      </w:r>
      <w:r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 xml:space="preserve"> will follow the requirements as stated in this section.</w:t>
      </w:r>
      <w:r w:rsidR="003A4D2E"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 xml:space="preserve"> </w:t>
      </w:r>
      <w:r w:rsidR="003A4D2E"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>Waiver requests will be sent to the CEO and Clinical Director</w:t>
      </w:r>
      <w:r w:rsidR="003A4D2E" w:rsidRPr="0001516F">
        <w:rPr>
          <w:rFonts w:ascii="Times New Roman" w:hAnsi="Times New Roman"/>
          <w:sz w:val="22"/>
          <w:szCs w:val="22"/>
          <w:highlight w:val="green"/>
          <w:lang w:eastAsia="en-US"/>
        </w:rPr>
        <w:t xml:space="preserve"> electronically for evaluation and approval and will </w:t>
      </w:r>
      <w:r w:rsidR="0007442A" w:rsidRPr="0001516F">
        <w:rPr>
          <w:rFonts w:ascii="Times New Roman" w:hAnsi="Times New Roman"/>
          <w:sz w:val="22"/>
          <w:szCs w:val="22"/>
          <w:highlight w:val="green"/>
        </w:rPr>
        <w:t>contain the following information</w:t>
      </w:r>
      <w:r w:rsidR="003A4D2E" w:rsidRPr="0001516F">
        <w:rPr>
          <w:rFonts w:ascii="Times New Roman" w:hAnsi="Times New Roman"/>
          <w:sz w:val="22"/>
          <w:szCs w:val="22"/>
          <w:highlight w:val="green"/>
        </w:rPr>
        <w:t>, as</w:t>
      </w:r>
      <w:r w:rsidR="0007442A" w:rsidRPr="0001516F">
        <w:rPr>
          <w:rFonts w:ascii="Times New Roman" w:hAnsi="Times New Roman"/>
          <w:sz w:val="22"/>
          <w:szCs w:val="22"/>
          <w:highlight w:val="green"/>
        </w:rPr>
        <w:t xml:space="preserve"> required: </w:t>
      </w:r>
    </w:p>
    <w:p w14:paraId="3838EDB7" w14:textId="65A192E7" w:rsidR="003A4D2E" w:rsidRPr="0001516F" w:rsidRDefault="00EB7349" w:rsidP="00EB7349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  <w:highlight w:val="green"/>
        </w:rPr>
      </w:pPr>
      <w:r w:rsidRPr="0001516F">
        <w:rPr>
          <w:rFonts w:ascii="Times New Roman" w:hAnsi="Times New Roman"/>
          <w:sz w:val="22"/>
          <w:szCs w:val="22"/>
          <w:highlight w:val="green"/>
        </w:rPr>
        <w:t>Must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provide</w:t>
      </w:r>
      <w:r w:rsidRPr="0001516F">
        <w:rPr>
          <w:rFonts w:ascii="Times New Roman" w:hAnsi="Times New Roman"/>
          <w:spacing w:val="-3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clear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and</w:t>
      </w:r>
      <w:r w:rsidRPr="0001516F">
        <w:rPr>
          <w:rFonts w:ascii="Times New Roman" w:hAnsi="Times New Roman"/>
          <w:spacing w:val="-3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convincing</w:t>
      </w:r>
      <w:r w:rsidRPr="0001516F">
        <w:rPr>
          <w:rFonts w:ascii="Times New Roman" w:hAnsi="Times New Roman"/>
          <w:spacing w:val="-6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evidence,</w:t>
      </w:r>
      <w:r w:rsidRPr="0001516F">
        <w:rPr>
          <w:rFonts w:ascii="Times New Roman" w:hAnsi="Times New Roman"/>
          <w:spacing w:val="-3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including</w:t>
      </w:r>
      <w:r w:rsidRPr="0001516F">
        <w:rPr>
          <w:rFonts w:ascii="Times New Roman" w:hAnsi="Times New Roman"/>
          <w:spacing w:val="-3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expert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opinion</w:t>
      </w:r>
      <w:r w:rsidRPr="0001516F">
        <w:rPr>
          <w:rFonts w:ascii="Times New Roman" w:hAnsi="Times New Roman"/>
          <w:spacing w:val="-3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at</w:t>
      </w:r>
      <w:r w:rsidRPr="0001516F">
        <w:rPr>
          <w:rFonts w:ascii="Times New Roman" w:hAnsi="Times New Roman"/>
          <w:spacing w:val="-5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the request of the Department, which demonstrates to the satisfaction of the Department that the organization's alternative method will comply with the intent of the rule provision</w:t>
      </w:r>
    </w:p>
    <w:p w14:paraId="2F3604DA" w14:textId="4F9E1DC3" w:rsidR="0001516F" w:rsidRPr="0001516F" w:rsidRDefault="0001516F" w:rsidP="0001516F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  <w:highlight w:val="green"/>
        </w:rPr>
      </w:pP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>Must be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for a specific period of time and can be renewed periodically</w:t>
      </w:r>
    </w:p>
    <w:p w14:paraId="32F3FBDD" w14:textId="4FBFDA7D" w:rsidR="00EB7349" w:rsidRPr="0001516F" w:rsidRDefault="00EB7349" w:rsidP="00EB7349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  <w:highlight w:val="green"/>
        </w:rPr>
      </w:pPr>
      <w:r w:rsidRPr="0001516F">
        <w:rPr>
          <w:rFonts w:ascii="Times New Roman" w:hAnsi="Times New Roman"/>
          <w:sz w:val="22"/>
          <w:szCs w:val="22"/>
          <w:highlight w:val="green"/>
        </w:rPr>
        <w:t>The</w:t>
      </w:r>
      <w:r w:rsidRPr="0001516F">
        <w:rPr>
          <w:rFonts w:ascii="Times New Roman" w:hAnsi="Times New Roman"/>
          <w:spacing w:val="-3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provision</w:t>
      </w:r>
      <w:r w:rsidRPr="0001516F">
        <w:rPr>
          <w:rFonts w:ascii="Times New Roman" w:hAnsi="Times New Roman"/>
          <w:spacing w:val="-5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is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not</w:t>
      </w:r>
      <w:r w:rsidRPr="0001516F">
        <w:rPr>
          <w:rFonts w:ascii="Times New Roman" w:hAnsi="Times New Roman"/>
          <w:spacing w:val="-5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mandated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by</w:t>
      </w:r>
      <w:r w:rsidRPr="0001516F">
        <w:rPr>
          <w:rFonts w:ascii="Times New Roman" w:hAnsi="Times New Roman"/>
          <w:spacing w:val="-5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pacing w:val="-5"/>
          <w:sz w:val="22"/>
          <w:szCs w:val="22"/>
          <w:highlight w:val="green"/>
        </w:rPr>
        <w:t>s</w:t>
      </w:r>
      <w:r w:rsidRPr="0001516F">
        <w:rPr>
          <w:rFonts w:ascii="Times New Roman" w:hAnsi="Times New Roman"/>
          <w:sz w:val="22"/>
          <w:szCs w:val="22"/>
          <w:highlight w:val="green"/>
        </w:rPr>
        <w:t>tate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or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federal</w:t>
      </w:r>
      <w:r w:rsidRPr="0001516F">
        <w:rPr>
          <w:rFonts w:ascii="Times New Roman" w:hAnsi="Times New Roman"/>
          <w:spacing w:val="-1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law</w:t>
      </w:r>
    </w:p>
    <w:p w14:paraId="453667A4" w14:textId="0DFC1002" w:rsidR="00EB7349" w:rsidRPr="0001516F" w:rsidRDefault="00EB7349" w:rsidP="00EB7349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  <w:highlight w:val="green"/>
        </w:rPr>
      </w:pPr>
      <w:r w:rsidRPr="0001516F">
        <w:rPr>
          <w:rFonts w:ascii="Times New Roman" w:hAnsi="Times New Roman"/>
          <w:sz w:val="22"/>
          <w:szCs w:val="22"/>
          <w:highlight w:val="green"/>
        </w:rPr>
        <w:t>The</w:t>
      </w:r>
      <w:r w:rsidRPr="0001516F">
        <w:rPr>
          <w:rFonts w:ascii="Times New Roman" w:hAnsi="Times New Roman"/>
          <w:spacing w:val="-3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waiver</w:t>
      </w:r>
      <w:r w:rsidRPr="0001516F">
        <w:rPr>
          <w:rFonts w:ascii="Times New Roman" w:hAnsi="Times New Roman"/>
          <w:spacing w:val="-4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may</w:t>
      </w:r>
      <w:r w:rsidRPr="0001516F">
        <w:rPr>
          <w:rFonts w:ascii="Times New Roman" w:hAnsi="Times New Roman"/>
          <w:spacing w:val="-4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not</w:t>
      </w:r>
      <w:r w:rsidRPr="0001516F">
        <w:rPr>
          <w:rFonts w:ascii="Times New Roman" w:hAnsi="Times New Roman"/>
          <w:spacing w:val="-4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violate</w:t>
      </w:r>
      <w:r w:rsidRPr="0001516F">
        <w:rPr>
          <w:rFonts w:ascii="Times New Roman" w:hAnsi="Times New Roman"/>
          <w:spacing w:val="-4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the</w:t>
      </w:r>
      <w:r w:rsidRPr="0001516F">
        <w:rPr>
          <w:rFonts w:ascii="Times New Roman" w:hAnsi="Times New Roman"/>
          <w:spacing w:val="-4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rights</w:t>
      </w:r>
      <w:r w:rsidRPr="0001516F">
        <w:rPr>
          <w:rFonts w:ascii="Times New Roman" w:hAnsi="Times New Roman"/>
          <w:spacing w:val="-4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of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clients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</w:t>
      </w:r>
      <w:r w:rsidRPr="0001516F">
        <w:rPr>
          <w:rFonts w:ascii="Times New Roman" w:hAnsi="Times New Roman"/>
          <w:sz w:val="22"/>
          <w:szCs w:val="22"/>
          <w:highlight w:val="green"/>
        </w:rPr>
        <w:t>receiving</w:t>
      </w: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services</w:t>
      </w:r>
    </w:p>
    <w:p w14:paraId="560AB464" w14:textId="64A8E7A3" w:rsidR="00EB7349" w:rsidRPr="0001516F" w:rsidRDefault="0001516F" w:rsidP="00EB7349">
      <w:pPr>
        <w:pStyle w:val="ListParagraph"/>
        <w:numPr>
          <w:ilvl w:val="1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  <w:highlight w:val="green"/>
        </w:rPr>
      </w:pPr>
      <w:r w:rsidRPr="0001516F">
        <w:rPr>
          <w:rFonts w:ascii="Times New Roman" w:hAnsi="Times New Roman"/>
          <w:spacing w:val="-2"/>
          <w:sz w:val="22"/>
          <w:szCs w:val="22"/>
          <w:highlight w:val="green"/>
        </w:rPr>
        <w:t>Will not</w:t>
      </w:r>
      <w:r w:rsidR="00EB7349" w:rsidRPr="0001516F">
        <w:rPr>
          <w:rFonts w:ascii="Times New Roman" w:hAnsi="Times New Roman"/>
          <w:spacing w:val="-2"/>
          <w:sz w:val="22"/>
          <w:szCs w:val="22"/>
          <w:highlight w:val="green"/>
        </w:rPr>
        <w:t xml:space="preserve"> violate billing rules as specified by payers</w:t>
      </w:r>
    </w:p>
    <w:p w14:paraId="7E80D779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2FD736F1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Issued License Extends to Identified Physical Sites: 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CBH will follow licensing rules and regulations around identified physical sites. </w:t>
      </w:r>
    </w:p>
    <w:p w14:paraId="6E638A4C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7BBD8223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lastRenderedPageBreak/>
        <w:t xml:space="preserve">Specifications of a License: </w:t>
      </w:r>
      <w:r w:rsidRPr="00E23BAA">
        <w:rPr>
          <w:rFonts w:ascii="Times New Roman" w:hAnsi="Times New Roman"/>
          <w:sz w:val="22"/>
          <w:szCs w:val="22"/>
          <w:lang w:eastAsia="en-US"/>
        </w:rPr>
        <w:t>CBH will provide all information required for the specification of the license.</w:t>
      </w:r>
    </w:p>
    <w:p w14:paraId="303674B9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3428A85C" w14:textId="72EC5739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National </w:t>
      </w:r>
      <w:r w:rsidR="0001516F">
        <w:rPr>
          <w:rFonts w:ascii="Times New Roman" w:hAnsi="Times New Roman"/>
          <w:b/>
          <w:bCs w:val="0"/>
          <w:sz w:val="22"/>
          <w:szCs w:val="22"/>
          <w:lang w:eastAsia="en-US"/>
        </w:rPr>
        <w:t>A</w:t>
      </w: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ccreditation and </w:t>
      </w:r>
      <w:r w:rsidR="0001516F">
        <w:rPr>
          <w:rFonts w:ascii="Times New Roman" w:hAnsi="Times New Roman"/>
          <w:b/>
          <w:bCs w:val="0"/>
          <w:sz w:val="22"/>
          <w:szCs w:val="22"/>
          <w:lang w:eastAsia="en-US"/>
        </w:rPr>
        <w:t>D</w:t>
      </w: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eeming: 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N/A </w:t>
      </w:r>
    </w:p>
    <w:p w14:paraId="16CFB262" w14:textId="77777777" w:rsidR="007D0B78" w:rsidRPr="00E23BAA" w:rsidRDefault="007D0B78">
      <w:p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</w:p>
    <w:p w14:paraId="38FB0EBA" w14:textId="77777777" w:rsidR="007D0B78" w:rsidRPr="00E23BAA" w:rsidRDefault="008A223E">
      <w:pPr>
        <w:pStyle w:val="ListParagraph"/>
        <w:numPr>
          <w:ilvl w:val="0"/>
          <w:numId w:val="1"/>
        </w:numPr>
        <w:suppressAutoHyphens w:val="0"/>
        <w:spacing w:line="240" w:lineRule="exact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b/>
          <w:bCs w:val="0"/>
          <w:sz w:val="22"/>
          <w:szCs w:val="22"/>
          <w:lang w:eastAsia="en-US"/>
        </w:rPr>
        <w:t xml:space="preserve">Approval for Occupancy </w:t>
      </w:r>
      <w:r w:rsidRPr="00E23BAA">
        <w:rPr>
          <w:rFonts w:ascii="Times New Roman" w:hAnsi="Times New Roman"/>
          <w:sz w:val="22"/>
          <w:szCs w:val="22"/>
          <w:lang w:eastAsia="en-US"/>
        </w:rPr>
        <w:t xml:space="preserve">CBH will follow licensing rules and regulations around occupancy rules in regards to State Fire Marshal, safe drinking water, and any local rules and regulations.  </w:t>
      </w:r>
    </w:p>
    <w:p w14:paraId="1270C718" w14:textId="77777777" w:rsidR="007D0B78" w:rsidRPr="00E23BAA" w:rsidRDefault="007D0B78">
      <w:pPr>
        <w:rPr>
          <w:rFonts w:ascii="Times New Roman" w:hAnsi="Times New Roman"/>
          <w:sz w:val="22"/>
          <w:szCs w:val="22"/>
        </w:rPr>
      </w:pPr>
    </w:p>
    <w:p w14:paraId="0B92AF2D" w14:textId="77777777" w:rsidR="007D0B78" w:rsidRPr="00E23BAA" w:rsidRDefault="007D0B78">
      <w:pPr>
        <w:ind w:firstLine="720"/>
        <w:rPr>
          <w:rFonts w:ascii="Times New Roman" w:hAnsi="Times New Roman"/>
          <w:sz w:val="22"/>
          <w:szCs w:val="22"/>
        </w:rPr>
      </w:pPr>
    </w:p>
    <w:p w14:paraId="15570174" w14:textId="77777777" w:rsidR="007D0B78" w:rsidRPr="00E23BAA" w:rsidRDefault="008A223E">
      <w:pPr>
        <w:ind w:firstLine="720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</w:rPr>
        <w:t>_____________________________________</w:t>
      </w:r>
      <w:r w:rsidRPr="00E23BAA">
        <w:rPr>
          <w:rFonts w:ascii="Times New Roman" w:hAnsi="Times New Roman"/>
          <w:sz w:val="22"/>
          <w:szCs w:val="22"/>
        </w:rPr>
        <w:tab/>
        <w:t>______________</w:t>
      </w:r>
    </w:p>
    <w:p w14:paraId="45DF8A25" w14:textId="77777777" w:rsidR="007D0B78" w:rsidRPr="00E23BAA" w:rsidRDefault="008A223E">
      <w:pPr>
        <w:ind w:firstLine="720"/>
        <w:rPr>
          <w:rFonts w:ascii="Times New Roman" w:hAnsi="Times New Roman"/>
          <w:sz w:val="22"/>
          <w:szCs w:val="22"/>
        </w:rPr>
      </w:pPr>
      <w:r w:rsidRPr="00E23BAA">
        <w:rPr>
          <w:rFonts w:ascii="Times New Roman" w:hAnsi="Times New Roman"/>
          <w:sz w:val="22"/>
          <w:szCs w:val="22"/>
        </w:rPr>
        <w:t>CEO</w:t>
      </w:r>
      <w:r w:rsidRPr="00E23BAA">
        <w:rPr>
          <w:rFonts w:ascii="Times New Roman" w:hAnsi="Times New Roman"/>
          <w:sz w:val="22"/>
          <w:szCs w:val="22"/>
        </w:rPr>
        <w:tab/>
      </w:r>
      <w:r w:rsidRPr="00E23BAA">
        <w:rPr>
          <w:rFonts w:ascii="Times New Roman" w:hAnsi="Times New Roman"/>
          <w:sz w:val="22"/>
          <w:szCs w:val="22"/>
        </w:rPr>
        <w:tab/>
      </w:r>
      <w:r w:rsidRPr="00E23BAA">
        <w:rPr>
          <w:rFonts w:ascii="Times New Roman" w:hAnsi="Times New Roman"/>
          <w:sz w:val="22"/>
          <w:szCs w:val="22"/>
        </w:rPr>
        <w:tab/>
      </w:r>
      <w:r w:rsidRPr="00E23BAA">
        <w:rPr>
          <w:rFonts w:ascii="Times New Roman" w:hAnsi="Times New Roman"/>
          <w:sz w:val="22"/>
          <w:szCs w:val="22"/>
        </w:rPr>
        <w:tab/>
      </w:r>
      <w:r w:rsidRPr="00E23BAA">
        <w:rPr>
          <w:rFonts w:ascii="Times New Roman" w:hAnsi="Times New Roman"/>
          <w:sz w:val="22"/>
          <w:szCs w:val="22"/>
        </w:rPr>
        <w:tab/>
      </w:r>
      <w:r w:rsidRPr="00E23BAA">
        <w:rPr>
          <w:rFonts w:ascii="Times New Roman" w:hAnsi="Times New Roman"/>
          <w:sz w:val="22"/>
          <w:szCs w:val="22"/>
        </w:rPr>
        <w:tab/>
        <w:t>Date</w:t>
      </w:r>
    </w:p>
    <w:sectPr w:rsidR="007D0B78" w:rsidRPr="00E23BAA">
      <w:headerReference w:type="default" r:id="rId7"/>
      <w:footerReference w:type="default" r:id="rId8"/>
      <w:pgSz w:w="12240" w:h="15840"/>
      <w:pgMar w:top="1440" w:right="1080" w:bottom="1440" w:left="1080" w:header="720" w:footer="39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6DD6" w14:textId="77777777" w:rsidR="00AC1353" w:rsidRDefault="00AC1353">
      <w:pPr>
        <w:spacing w:line="240" w:lineRule="auto"/>
      </w:pPr>
      <w:r>
        <w:separator/>
      </w:r>
    </w:p>
  </w:endnote>
  <w:endnote w:type="continuationSeparator" w:id="0">
    <w:p w14:paraId="7DE7C4E7" w14:textId="77777777" w:rsidR="00AC1353" w:rsidRDefault="00AC1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407">
    <w:altName w:val="Calibri"/>
    <w:panose1 w:val="00000000000000000000"/>
    <w:charset w:val="00"/>
    <w:family w:val="auto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78"/>
      <w:gridCol w:w="1350"/>
    </w:tblGrid>
    <w:tr w:rsidR="004E5D9B" w14:paraId="23BC2764" w14:textId="77777777" w:rsidTr="004E5D9B">
      <w:tc>
        <w:tcPr>
          <w:tcW w:w="9378" w:type="dxa"/>
        </w:tcPr>
        <w:p w14:paraId="260B7F4C" w14:textId="2F785387" w:rsidR="004E5D9B" w:rsidRDefault="004E5D9B">
          <w:pPr>
            <w:suppressAutoHyphens w:val="0"/>
            <w:spacing w:line="240" w:lineRule="exact"/>
            <w:rPr>
              <w:rFonts w:ascii="Times New Roman" w:hAnsi="Times New Roman"/>
              <w:sz w:val="22"/>
              <w:szCs w:val="22"/>
              <w:lang w:eastAsia="en-US"/>
            </w:rPr>
          </w:pPr>
          <w:r w:rsidRPr="004E5D9B">
            <w:rPr>
              <w:rFonts w:ascii="Times New Roman" w:hAnsi="Times New Roman"/>
              <w:sz w:val="22"/>
              <w:szCs w:val="22"/>
              <w:lang w:eastAsia="en-US"/>
            </w:rPr>
            <w:t>Rev: 3-25-24 FHW, 5-11-24 PPC, 2-10-25 PPC</w:t>
          </w:r>
          <w:r>
            <w:rPr>
              <w:rFonts w:ascii="Times New Roman" w:hAnsi="Times New Roman"/>
              <w:sz w:val="22"/>
              <w:szCs w:val="22"/>
              <w:lang w:eastAsia="en-US"/>
            </w:rPr>
            <w:t>, 06-10-25 PPC</w:t>
          </w:r>
        </w:p>
      </w:tc>
      <w:tc>
        <w:tcPr>
          <w:tcW w:w="1350" w:type="dxa"/>
        </w:tcPr>
        <w:p w14:paraId="221F3EE2" w14:textId="65E53431" w:rsidR="004E5D9B" w:rsidRDefault="004E5D9B">
          <w:pPr>
            <w:suppressAutoHyphens w:val="0"/>
            <w:spacing w:line="240" w:lineRule="exact"/>
            <w:rPr>
              <w:rFonts w:ascii="Times New Roman" w:hAnsi="Times New Roman"/>
              <w:sz w:val="22"/>
              <w:szCs w:val="22"/>
              <w:lang w:eastAsia="en-US"/>
            </w:rPr>
          </w:pPr>
          <w:r w:rsidRPr="004E5D9B">
            <w:rPr>
              <w:rFonts w:ascii="Times New Roman" w:hAnsi="Times New Roman"/>
              <w:sz w:val="22"/>
              <w:szCs w:val="22"/>
              <w:lang w:eastAsia="en-US"/>
            </w:rPr>
            <w:t xml:space="preserve">Page </w:t>
          </w:r>
          <w:r w:rsidRPr="004E5D9B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4E5D9B">
            <w:rPr>
              <w:rFonts w:ascii="Times New Roman" w:hAnsi="Times New Roman"/>
              <w:sz w:val="22"/>
              <w:szCs w:val="22"/>
            </w:rPr>
            <w:instrText>PAGE</w:instrText>
          </w:r>
          <w:r w:rsidRPr="004E5D9B">
            <w:rPr>
              <w:rFonts w:ascii="Times New Roman" w:hAnsi="Times New Roman"/>
              <w:sz w:val="22"/>
              <w:szCs w:val="22"/>
            </w:rPr>
            <w:fldChar w:fldCharType="separate"/>
          </w:r>
          <w:r>
            <w:rPr>
              <w:rFonts w:ascii="Times New Roman" w:hAnsi="Times New Roman"/>
              <w:sz w:val="22"/>
              <w:szCs w:val="22"/>
            </w:rPr>
            <w:t>2</w:t>
          </w:r>
          <w:r w:rsidRPr="004E5D9B">
            <w:rPr>
              <w:rFonts w:ascii="Times New Roman" w:hAnsi="Times New Roman"/>
              <w:sz w:val="22"/>
              <w:szCs w:val="22"/>
            </w:rPr>
            <w:fldChar w:fldCharType="end"/>
          </w:r>
          <w:r w:rsidRPr="004E5D9B">
            <w:rPr>
              <w:rFonts w:ascii="Times New Roman" w:hAnsi="Times New Roman"/>
              <w:sz w:val="22"/>
              <w:szCs w:val="22"/>
              <w:lang w:eastAsia="en-US"/>
            </w:rPr>
            <w:t xml:space="preserve"> of </w:t>
          </w:r>
          <w:r w:rsidRPr="004E5D9B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4E5D9B">
            <w:rPr>
              <w:rFonts w:ascii="Times New Roman" w:hAnsi="Times New Roman"/>
              <w:sz w:val="22"/>
              <w:szCs w:val="22"/>
            </w:rPr>
            <w:instrText>NUMPAGES</w:instrText>
          </w:r>
          <w:r w:rsidRPr="004E5D9B">
            <w:rPr>
              <w:rFonts w:ascii="Times New Roman" w:hAnsi="Times New Roman"/>
              <w:sz w:val="22"/>
              <w:szCs w:val="22"/>
            </w:rPr>
            <w:fldChar w:fldCharType="separate"/>
          </w:r>
          <w:r>
            <w:rPr>
              <w:rFonts w:ascii="Times New Roman" w:hAnsi="Times New Roman"/>
              <w:sz w:val="22"/>
              <w:szCs w:val="22"/>
            </w:rPr>
            <w:t>2</w:t>
          </w:r>
          <w:r w:rsidRPr="004E5D9B">
            <w:rPr>
              <w:rFonts w:ascii="Times New Roman" w:hAnsi="Times New Roman"/>
              <w:sz w:val="22"/>
              <w:szCs w:val="22"/>
            </w:rPr>
            <w:fldChar w:fldCharType="end"/>
          </w:r>
        </w:p>
      </w:tc>
    </w:tr>
  </w:tbl>
  <w:p w14:paraId="5A1BE9DA" w14:textId="147BA13C" w:rsidR="007D0B78" w:rsidRPr="004E5D9B" w:rsidRDefault="007D0B78" w:rsidP="004E5D9B">
    <w:pPr>
      <w:suppressAutoHyphens w:val="0"/>
      <w:spacing w:line="240" w:lineRule="exac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0006" w14:textId="77777777" w:rsidR="00AC1353" w:rsidRDefault="00AC1353">
      <w:pPr>
        <w:spacing w:line="240" w:lineRule="auto"/>
      </w:pPr>
      <w:r>
        <w:separator/>
      </w:r>
    </w:p>
  </w:footnote>
  <w:footnote w:type="continuationSeparator" w:id="0">
    <w:p w14:paraId="03AAC4C4" w14:textId="77777777" w:rsidR="00AC1353" w:rsidRDefault="00AC1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2DAA" w14:textId="77777777" w:rsidR="007D0B78" w:rsidRDefault="008A223E">
    <w:pPr>
      <w:pageBreakBefore/>
      <w:jc w:val="center"/>
    </w:pPr>
    <w:r>
      <w:rPr>
        <w:rFonts w:ascii="Times New Roman" w:hAnsi="Times New Roman"/>
        <w:bCs w:val="0"/>
        <w:sz w:val="48"/>
        <w:szCs w:val="48"/>
      </w:rPr>
      <w:t>Cornerstone Behavioral Healthcare</w:t>
    </w:r>
  </w:p>
  <w:p w14:paraId="4EABA374" w14:textId="77777777" w:rsidR="007D0B78" w:rsidRDefault="008A223E">
    <w:pPr>
      <w:pStyle w:val="Header"/>
      <w:jc w:val="center"/>
    </w:pPr>
    <w:r>
      <w:rPr>
        <w:rFonts w:ascii="Times New Roman" w:hAnsi="Times New Roman"/>
        <w:sz w:val="44"/>
        <w:szCs w:val="44"/>
      </w:rPr>
      <w:t>Section 2 License and Certification Requirements</w:t>
    </w:r>
  </w:p>
  <w:p w14:paraId="29AA8B09" w14:textId="77777777" w:rsidR="007D0B78" w:rsidRDefault="007D0B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3D9D"/>
    <w:multiLevelType w:val="multilevel"/>
    <w:tmpl w:val="D9C850C0"/>
    <w:lvl w:ilvl="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3320"/>
    <w:multiLevelType w:val="multilevel"/>
    <w:tmpl w:val="B374FD88"/>
    <w:lvl w:ilvl="0">
      <w:start w:val="1"/>
      <w:numFmt w:val="upperLetter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5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D3E6616"/>
    <w:multiLevelType w:val="multilevel"/>
    <w:tmpl w:val="81E010E8"/>
    <w:lvl w:ilvl="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7" w:hanging="432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20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793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6" w:hanging="432"/>
      </w:pPr>
      <w:rPr>
        <w:rFonts w:ascii="font1407" w:hAnsi="font1407" w:hint="default"/>
      </w:rPr>
    </w:lvl>
    <w:lvl w:ilvl="5">
      <w:start w:val="1"/>
      <w:numFmt w:val="lowerRoman"/>
      <w:lvlText w:val="%6."/>
      <w:lvlJc w:val="right"/>
      <w:pPr>
        <w:ind w:left="4319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45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8" w:hanging="432"/>
      </w:pPr>
      <w:rPr>
        <w:rFonts w:hint="default"/>
      </w:rPr>
    </w:lvl>
  </w:abstractNum>
  <w:abstractNum w:abstractNumId="3" w15:restartNumberingAfterBreak="0">
    <w:nsid w:val="733A55D5"/>
    <w:multiLevelType w:val="multilevel"/>
    <w:tmpl w:val="3B407CB6"/>
    <w:styleLink w:val="Style1"/>
    <w:lvl w:ilvl="0">
      <w:start w:val="1"/>
      <w:numFmt w:val="upperLetter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9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5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EC3592D"/>
    <w:multiLevelType w:val="multilevel"/>
    <w:tmpl w:val="B4F01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8910462">
    <w:abstractNumId w:val="0"/>
  </w:num>
  <w:num w:numId="2" w16cid:durableId="398984171">
    <w:abstractNumId w:val="4"/>
  </w:num>
  <w:num w:numId="3" w16cid:durableId="475532100">
    <w:abstractNumId w:val="2"/>
  </w:num>
  <w:num w:numId="4" w16cid:durableId="905646034">
    <w:abstractNumId w:val="1"/>
  </w:num>
  <w:num w:numId="5" w16cid:durableId="43813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78"/>
    <w:rsid w:val="00004BF1"/>
    <w:rsid w:val="0001516F"/>
    <w:rsid w:val="0007442A"/>
    <w:rsid w:val="00106715"/>
    <w:rsid w:val="00233640"/>
    <w:rsid w:val="002A0199"/>
    <w:rsid w:val="003A1A7E"/>
    <w:rsid w:val="003A4D2E"/>
    <w:rsid w:val="003F6F4E"/>
    <w:rsid w:val="00482BED"/>
    <w:rsid w:val="004848C9"/>
    <w:rsid w:val="00492F47"/>
    <w:rsid w:val="004E5D9B"/>
    <w:rsid w:val="005833A3"/>
    <w:rsid w:val="007D0B78"/>
    <w:rsid w:val="00814B81"/>
    <w:rsid w:val="00847B0B"/>
    <w:rsid w:val="008860E9"/>
    <w:rsid w:val="008A223E"/>
    <w:rsid w:val="008E0B95"/>
    <w:rsid w:val="00AC1353"/>
    <w:rsid w:val="00B347C8"/>
    <w:rsid w:val="00B369B5"/>
    <w:rsid w:val="00B8087D"/>
    <w:rsid w:val="00C041EA"/>
    <w:rsid w:val="00E23BAA"/>
    <w:rsid w:val="00E37AD2"/>
    <w:rsid w:val="00EB7349"/>
    <w:rsid w:val="00ED4380"/>
    <w:rsid w:val="00F13A92"/>
    <w:rsid w:val="00F2496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1C52F"/>
  <w15:docId w15:val="{7B6C65EB-9B2B-4FCB-A626-0A07F968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Arial Narrow" w:eastAsia="Times New Roman" w:hAnsi="Arial Narrow" w:cs="Times New Roman"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rFonts w:ascii="Arial Narrow" w:eastAsia="Times New Roman" w:hAnsi="Arial Narrow" w:cs="Times New Roman"/>
      <w:bCs/>
      <w:sz w:val="24"/>
      <w:szCs w:val="24"/>
      <w:lang w:eastAsia="ar-SA"/>
    </w:rPr>
  </w:style>
  <w:style w:type="character" w:customStyle="1" w:styleId="FooterChar">
    <w:name w:val="Footer Char"/>
    <w:basedOn w:val="DefaultParagraphFont"/>
    <w:rPr>
      <w:rFonts w:ascii="Arial Narrow" w:eastAsia="Times New Roman" w:hAnsi="Arial Narrow" w:cs="Times New Roman"/>
      <w:bCs/>
      <w:sz w:val="24"/>
      <w:szCs w:val="24"/>
      <w:lang w:eastAsia="ar-SA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bCs w:val="0"/>
    </w:rPr>
  </w:style>
  <w:style w:type="character" w:customStyle="1" w:styleId="ListLabel4">
    <w:name w:val="ListLabel 4"/>
    <w:rPr>
      <w:b/>
      <w:bCs w:val="0"/>
    </w:rPr>
  </w:style>
  <w:style w:type="character" w:customStyle="1" w:styleId="ListLabel5">
    <w:name w:val="ListLabel 5"/>
    <w:rPr>
      <w:b/>
      <w:bCs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xmsolistparagraph">
    <w:name w:val="x_msolistparagraph"/>
    <w:basedOn w:val="Normal"/>
    <w:rsid w:val="003F6F4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bCs w:val="0"/>
      <w:kern w:val="0"/>
      <w:lang w:eastAsia="en-US"/>
    </w:rPr>
  </w:style>
  <w:style w:type="numbering" w:customStyle="1" w:styleId="Style1">
    <w:name w:val="Style1"/>
    <w:uiPriority w:val="99"/>
    <w:rsid w:val="003A4D2E"/>
    <w:pPr>
      <w:numPr>
        <w:numId w:val="5"/>
      </w:numPr>
    </w:pPr>
  </w:style>
  <w:style w:type="table" w:styleId="TableGrid">
    <w:name w:val="Table Grid"/>
    <w:basedOn w:val="TableNormal"/>
    <w:uiPriority w:val="39"/>
    <w:rsid w:val="004E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Burton</dc:creator>
  <cp:lastModifiedBy>Phoenicia Kraemer (2)</cp:lastModifiedBy>
  <cp:revision>6</cp:revision>
  <cp:lastPrinted>2015-05-15T23:45:00Z</cp:lastPrinted>
  <dcterms:created xsi:type="dcterms:W3CDTF">2025-06-04T18:51:00Z</dcterms:created>
  <dcterms:modified xsi:type="dcterms:W3CDTF">2025-06-10T17:54:00Z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ba999a6d-4758-47d9-912a-cc496cbcf32d</vt:lpwstr>
  </property>
</Properties>
</file>